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jc w:val="center"/>
        <w:rPr>
          <w:rFonts w:ascii="方正小标宋_GBK" w:eastAsia="方正小标宋_GBK" w:hAnsi="方正小标宋_GBK" w:cs="方正小标宋_GBK"/>
          <w:sz w:val="112"/>
          <w:szCs w:val="112"/>
        </w:rPr>
      </w:pPr>
    </w:p>
    <w:p w:rsidR="0041078B" w:rsidRDefault="0041078B">
      <w:pPr>
        <w:jc w:val="center"/>
        <w:rPr>
          <w:rFonts w:ascii="方正小标宋_GBK" w:eastAsia="方正小标宋_GBK" w:hAnsi="方正小标宋_GBK" w:cs="方正小标宋_GBK"/>
          <w:sz w:val="112"/>
          <w:szCs w:val="112"/>
        </w:rPr>
      </w:pPr>
    </w:p>
    <w:p w:rsidR="0041078B" w:rsidRDefault="005B4498">
      <w:pPr>
        <w:jc w:val="center"/>
        <w:rPr>
          <w:rFonts w:ascii="方正小标宋_GBK" w:eastAsia="方正小标宋_GBK" w:hAnsi="方正小标宋_GBK" w:cs="方正小标宋_GBK"/>
          <w:sz w:val="112"/>
          <w:szCs w:val="112"/>
        </w:rPr>
      </w:pPr>
      <w:r>
        <w:rPr>
          <w:rFonts w:ascii="方正小标宋_GBK" w:eastAsia="方正小标宋_GBK" w:hAnsi="方正小标宋_GBK" w:cs="方正小标宋_GBK" w:hint="eastAsia"/>
          <w:sz w:val="112"/>
          <w:szCs w:val="112"/>
        </w:rPr>
        <w:t>供应商须知</w:t>
      </w: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41078B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D5E08" w:rsidRDefault="001D5E08" w:rsidP="001D5E08">
      <w:pPr>
        <w:jc w:val="center"/>
        <w:rPr>
          <w:rFonts w:ascii="方正小标宋_GBK" w:eastAsia="方正小标宋_GBK"/>
          <w:szCs w:val="32"/>
        </w:rPr>
      </w:pPr>
    </w:p>
    <w:p w:rsidR="001D5E08" w:rsidRPr="001D5E08" w:rsidRDefault="001D5E08" w:rsidP="001D5E08">
      <w:pPr>
        <w:jc w:val="center"/>
        <w:rPr>
          <w:rFonts w:ascii="方正小标宋_GBK" w:eastAsia="方正小标宋_GBK"/>
          <w:sz w:val="32"/>
          <w:szCs w:val="32"/>
        </w:rPr>
      </w:pPr>
      <w:r w:rsidRPr="001D5E08">
        <w:rPr>
          <w:rFonts w:ascii="方正小标宋_GBK" w:eastAsia="方正小标宋_GBK" w:hint="eastAsia"/>
          <w:sz w:val="32"/>
          <w:szCs w:val="32"/>
        </w:rPr>
        <w:lastRenderedPageBreak/>
        <w:t>浙江省轨道交通运营管理集团有限公司海宁分公司</w:t>
      </w:r>
    </w:p>
    <w:p w:rsidR="001D5E08" w:rsidRPr="001D5E08" w:rsidRDefault="001D5E08" w:rsidP="001D5E08">
      <w:pPr>
        <w:jc w:val="center"/>
        <w:rPr>
          <w:rFonts w:ascii="方正小标宋_GBK" w:eastAsia="方正小标宋_GBK"/>
          <w:sz w:val="32"/>
          <w:szCs w:val="32"/>
        </w:rPr>
      </w:pPr>
      <w:r w:rsidRPr="001D5E08">
        <w:rPr>
          <w:rFonts w:ascii="方正小标宋_GBK" w:eastAsia="方正小标宋_GBK" w:hint="eastAsia"/>
          <w:sz w:val="32"/>
          <w:szCs w:val="32"/>
        </w:rPr>
        <w:t>2020年盐官车辆基地食堂智能餐盘采购项目询比公告</w:t>
      </w:r>
    </w:p>
    <w:p w:rsidR="001D5E08" w:rsidRPr="001D5E08" w:rsidRDefault="001D5E08" w:rsidP="001D5E0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根据我单位采购计划安排，现拟采用询比方式采购2020年盐官车辆基地食堂智能餐盘项目，欢迎合格的供应商前来报价。</w:t>
      </w:r>
    </w:p>
    <w:p w:rsidR="001D5E08" w:rsidRPr="001D5E08" w:rsidRDefault="001D5E08" w:rsidP="001D5E08">
      <w:pPr>
        <w:spacing w:line="560" w:lineRule="exact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一、采购项目概况：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1.采购人：浙江省轨道交通运营管理集团有限公司海宁分公司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2.供货地点：海宁市盐官车辆基地（实际送货地址由采购人指定）。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3.供货时间：采用一次性供货，到货时间暂定8月底；供应商在收到采购人下达的供货通知后45天内完成供货。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4.采购物资：食堂智能餐盘物资等一批（具体物资清单详见采购文件清单》。</w:t>
      </w:r>
    </w:p>
    <w:p w:rsidR="001D5E08" w:rsidRPr="001D5E08" w:rsidRDefault="001D5E08" w:rsidP="001D5E08">
      <w:pPr>
        <w:spacing w:line="560" w:lineRule="exact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二、供应商资格要求：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1.在中华人民共和国境内注册，具有独立法人资格。法定代表人为同一人的两个及两个以上法人，母公司、全资子公司及其控股公司，同一法人或自然人持有两个公司股份30%及以上的两个法人，不得同时参加本项目；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2.营业执照经营范围须涵盖本项目物资的经营范围，能够开具增值税专用发票；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3.本项目不接受联合体参选；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4.“国家企业信用信息公示系统”无不良记录。</w:t>
      </w:r>
    </w:p>
    <w:p w:rsidR="001D5E08" w:rsidRPr="001D5E08" w:rsidRDefault="001D5E08" w:rsidP="001D5E08">
      <w:pPr>
        <w:spacing w:line="560" w:lineRule="exact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lastRenderedPageBreak/>
        <w:t>三、获取采购文件的方式、时间及售价：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1.发售时间：2020年8月5日11时：00分至2020年8月10日10时：00分(双休日及法定节假日除外)。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2.获取采购文件方式：联系采购人获取。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3.采购文件售价(元)：人民币 零 元。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4.本项目不提供其他采购文件获取方式。</w:t>
      </w:r>
    </w:p>
    <w:p w:rsidR="001D5E08" w:rsidRPr="001D5E08" w:rsidRDefault="001D5E08" w:rsidP="001D5E08">
      <w:pPr>
        <w:spacing w:line="560" w:lineRule="exact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四、采购响应文件提交等要求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1.递交截止时间：2020年8月13日17时00分之前；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2.地址：浙江省嘉兴市海宁市海洲街道钱江西路238号广隆财富中心1号楼15楼；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3.递交方式：供应商或授权代表原则上应现场递交采购文件。如采用邮寄方式投递的，邮寄过程中文件的遗失、损毁、逾期以及其他任何问题均由询比申请人自行承担，与采购人无关；邮寄费用由询比申请人承担。</w:t>
      </w:r>
    </w:p>
    <w:p w:rsidR="001D5E08" w:rsidRPr="001D5E08" w:rsidRDefault="001D5E08" w:rsidP="001D5E08">
      <w:pPr>
        <w:spacing w:line="560" w:lineRule="exact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五、其他事项</w:t>
      </w:r>
    </w:p>
    <w:p w:rsidR="001D5E08" w:rsidRPr="001D5E08" w:rsidRDefault="001D5E08" w:rsidP="001D5E0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购买采购文件时须提交以下文件：</w:t>
      </w:r>
    </w:p>
    <w:p w:rsidR="001D5E08" w:rsidRPr="001D5E08" w:rsidRDefault="001D5E08" w:rsidP="001D5E08">
      <w:pPr>
        <w:spacing w:line="560" w:lineRule="exact"/>
        <w:ind w:firstLineChars="200" w:firstLine="640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1.营业执照(社会统一信用代码证)；</w:t>
      </w:r>
    </w:p>
    <w:p w:rsidR="001D5E08" w:rsidRPr="001D5E08" w:rsidRDefault="001D5E08" w:rsidP="001D5E08">
      <w:pPr>
        <w:spacing w:line="560" w:lineRule="exact"/>
        <w:ind w:firstLineChars="200" w:firstLine="640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2.银行开户许可证；</w:t>
      </w:r>
    </w:p>
    <w:p w:rsidR="001D5E08" w:rsidRPr="001D5E08" w:rsidRDefault="001D5E08" w:rsidP="001D5E08">
      <w:pPr>
        <w:spacing w:line="560" w:lineRule="exact"/>
        <w:ind w:firstLineChars="200" w:firstLine="640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3.法人代表身份证；</w:t>
      </w:r>
    </w:p>
    <w:p w:rsidR="001D5E08" w:rsidRPr="001D5E08" w:rsidRDefault="001D5E08" w:rsidP="001D5E08">
      <w:pPr>
        <w:spacing w:line="560" w:lineRule="exact"/>
        <w:ind w:firstLineChars="200" w:firstLine="640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4.</w:t>
      </w:r>
      <w:r w:rsidRPr="001D5E08">
        <w:rPr>
          <w:rFonts w:ascii="仿宋_GB2312" w:eastAsia="仿宋_GB2312" w:hint="eastAsia"/>
          <w:sz w:val="32"/>
          <w:szCs w:val="32"/>
        </w:rPr>
        <w:t>法定代表人授权委托书</w:t>
      </w:r>
      <w:r w:rsidRPr="001D5E08">
        <w:rPr>
          <w:rFonts w:ascii="仿宋_GB2312" w:eastAsia="仿宋_GB2312" w:hAnsi="楷体_GB2312" w:cs="楷体_GB2312" w:hint="eastAsia"/>
          <w:sz w:val="32"/>
          <w:szCs w:val="32"/>
        </w:rPr>
        <w:t>（如有）。</w:t>
      </w:r>
    </w:p>
    <w:p w:rsidR="001D5E08" w:rsidRPr="001D5E08" w:rsidRDefault="001D5E08" w:rsidP="001D5E08">
      <w:pPr>
        <w:spacing w:line="560" w:lineRule="exact"/>
        <w:jc w:val="left"/>
        <w:rPr>
          <w:rFonts w:ascii="仿宋_GB2312" w:eastAsia="仿宋_GB2312" w:hAnsi="楷体_GB2312" w:cs="楷体_GB2312" w:hint="eastAsia"/>
          <w:sz w:val="32"/>
          <w:szCs w:val="32"/>
        </w:rPr>
      </w:pPr>
      <w:r w:rsidRPr="001D5E08">
        <w:rPr>
          <w:rFonts w:ascii="仿宋_GB2312" w:eastAsia="仿宋_GB2312" w:hAnsi="楷体_GB2312" w:cs="楷体_GB2312" w:hint="eastAsia"/>
          <w:sz w:val="32"/>
          <w:szCs w:val="32"/>
        </w:rPr>
        <w:t>六、联系方式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采购人：浙江省轨道交通运营管理集团有限公司海宁分公司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地址：浙江省嘉兴市海宁市海洲街道钱江西路238号广隆财富中心1号楼15楼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联系人：石先生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电话：13966727253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采购监督管理部门：浙江省轨道交通运营管理集团有限公司海宁分公司综合办公室（兼纪检监察审计室）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地址：浙江省嘉兴市海宁市海洲街道钱江西路238号广隆财富中心1号楼15楼</w:t>
      </w:r>
    </w:p>
    <w:p w:rsidR="001D5E08" w:rsidRPr="001D5E08" w:rsidRDefault="001D5E08" w:rsidP="001D5E0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D5E08">
        <w:rPr>
          <w:rFonts w:ascii="仿宋_GB2312" w:eastAsia="仿宋_GB2312" w:hAnsi="仿宋_GB2312" w:cs="仿宋_GB2312" w:hint="eastAsia"/>
          <w:sz w:val="32"/>
          <w:szCs w:val="32"/>
        </w:rPr>
        <w:t>电话：0573-87006937</w:t>
      </w:r>
    </w:p>
    <w:p w:rsidR="001D5E08" w:rsidRPr="000B23E1" w:rsidRDefault="001D5E08" w:rsidP="001D5E08">
      <w:pPr>
        <w:rPr>
          <w:rFonts w:ascii="方正小标宋_GBK" w:eastAsia="方正小标宋_GBK"/>
          <w:szCs w:val="32"/>
        </w:rPr>
      </w:pPr>
    </w:p>
    <w:p w:rsidR="001D5E08" w:rsidRPr="000B23E1" w:rsidRDefault="001D5E08" w:rsidP="001D5E08">
      <w:pPr>
        <w:jc w:val="center"/>
        <w:rPr>
          <w:rFonts w:ascii="方正小标宋_GBK" w:eastAsia="方正小标宋_GBK"/>
          <w:sz w:val="44"/>
        </w:rPr>
      </w:pPr>
    </w:p>
    <w:p w:rsidR="001D5E08" w:rsidRDefault="001D5E08">
      <w:pPr>
        <w:spacing w:line="560" w:lineRule="exact"/>
        <w:jc w:val="left"/>
        <w:rPr>
          <w:rFonts w:hint="eastAsia"/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41078B">
      <w:pPr>
        <w:spacing w:line="560" w:lineRule="exact"/>
        <w:jc w:val="left"/>
        <w:rPr>
          <w:sz w:val="32"/>
          <w:szCs w:val="32"/>
        </w:rPr>
      </w:pPr>
    </w:p>
    <w:p w:rsidR="0041078B" w:rsidRDefault="005B449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报价说明</w:t>
      </w: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5B4498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询</w:t>
      </w:r>
      <w:r>
        <w:rPr>
          <w:rFonts w:ascii="黑体" w:eastAsia="黑体" w:hAnsi="黑体" w:cs="黑体" w:hint="eastAsia"/>
          <w:sz w:val="32"/>
          <w:szCs w:val="32"/>
        </w:rPr>
        <w:t>比</w:t>
      </w:r>
      <w:r>
        <w:rPr>
          <w:rFonts w:ascii="黑体" w:eastAsia="黑体" w:hAnsi="黑体" w:cs="黑体" w:hint="eastAsia"/>
          <w:sz w:val="32"/>
          <w:szCs w:val="32"/>
        </w:rPr>
        <w:t>报价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报价的范围：为含税全包价，包括产品的生产、设计、销售、运输、验收、</w:t>
      </w:r>
      <w:r>
        <w:rPr>
          <w:rFonts w:ascii="仿宋_GB2312" w:eastAsia="仿宋_GB2312" w:hAnsi="仿宋_GB2312" w:cs="仿宋_GB2312" w:hint="eastAsia"/>
          <w:sz w:val="32"/>
          <w:szCs w:val="32"/>
        </w:rPr>
        <w:t>安装、</w:t>
      </w:r>
      <w:r>
        <w:rPr>
          <w:rFonts w:ascii="仿宋_GB2312" w:eastAsia="仿宋_GB2312" w:hAnsi="仿宋_GB2312" w:cs="仿宋_GB2312" w:hint="eastAsia"/>
          <w:sz w:val="32"/>
          <w:szCs w:val="32"/>
        </w:rPr>
        <w:t>售后、税金等等一切费用；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申请人须对询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采购文件中的全部货物进行报价，报价必须逐项全部报齐，否则报价无效；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在报价表备注栏</w:t>
      </w:r>
      <w:r>
        <w:rPr>
          <w:rFonts w:ascii="仿宋_GB2312" w:eastAsia="仿宋_GB2312" w:hAnsi="仿宋_GB2312" w:cs="仿宋_GB2312" w:hint="eastAsia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sz w:val="32"/>
          <w:szCs w:val="32"/>
        </w:rPr>
        <w:t>须注明报价产品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唯一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品牌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及型号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报价不得超出采购控制价，否则报价无效。</w:t>
      </w:r>
    </w:p>
    <w:p w:rsidR="0041078B" w:rsidRDefault="005B449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申请人只有一次报价的机会，本次报价为采购人要求被询价的询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申请人一次报出不得更改的价格。不得出现选择性报价、多个报价或有其他附带条件的报价等情形，否则报价无效。</w:t>
      </w:r>
    </w:p>
    <w:p w:rsidR="0041078B" w:rsidRDefault="005B4498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二、偏离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询价品牌型号为</w:t>
      </w:r>
      <w:r>
        <w:rPr>
          <w:rFonts w:ascii="仿宋_GB2312" w:eastAsia="仿宋_GB2312" w:hAnsi="仿宋_GB2312" w:cs="仿宋_GB2312" w:hint="eastAsia"/>
          <w:sz w:val="32"/>
          <w:szCs w:val="32"/>
        </w:rPr>
        <w:t>参考</w:t>
      </w:r>
      <w:r>
        <w:rPr>
          <w:rFonts w:ascii="仿宋_GB2312" w:eastAsia="仿宋_GB2312" w:hAnsi="仿宋_GB2312" w:cs="仿宋_GB2312" w:hint="eastAsia"/>
          <w:sz w:val="32"/>
          <w:szCs w:val="32"/>
        </w:rPr>
        <w:t>品牌型号；如报价人所报产品品牌型号与询价单不一致的，须在采购人指定的时间内提供报价产品质量、技术性能等不低于“</w:t>
      </w:r>
      <w:r>
        <w:rPr>
          <w:rFonts w:ascii="仿宋_GB2312" w:eastAsia="仿宋_GB2312" w:hAnsi="仿宋_GB2312" w:cs="仿宋_GB2312" w:hint="eastAsia"/>
          <w:sz w:val="32"/>
          <w:szCs w:val="32"/>
        </w:rPr>
        <w:t>参考</w:t>
      </w:r>
      <w:r>
        <w:rPr>
          <w:rFonts w:ascii="仿宋_GB2312" w:eastAsia="仿宋_GB2312" w:hAnsi="仿宋_GB2312" w:cs="仿宋_GB2312" w:hint="eastAsia"/>
          <w:sz w:val="32"/>
          <w:szCs w:val="32"/>
        </w:rPr>
        <w:t>品牌型号”的证明材料或样品；证明材料或样品经采购人认可后，报价方为有效。由此产生的样品往返寄送快递费等相关费用（如有）须由报价人承担，且因此导致的样品损坏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灭失，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采购人概不负责。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所报产品必须完全符合询价单中的产品描述，必须是全新的正牌产品，必须符合国家标准，具备产品合格证。货到验收如发现与询价单中产品描述不符或无产品合格证，我司将做退货处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理。如为假冒伪劣产品，我司将报市场监管部门，造成损失的保留诉诸法律的权利。</w:t>
      </w:r>
    </w:p>
    <w:p w:rsidR="0041078B" w:rsidRDefault="005B4498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三、报价无效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出现下列情形之一的，询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无效：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响应报价高于项目控制价的；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供应商资格不满足询价公告载明的资格预审条件的，或不满足国家有关规定的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询价有效期</w:t>
      </w:r>
      <w:r>
        <w:rPr>
          <w:rFonts w:ascii="仿宋_GB2312" w:eastAsia="仿宋_GB2312" w:hAnsi="仿宋_GB2312" w:cs="仿宋_GB2312" w:hint="eastAsia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报价人递交两份或多份内容不同的报价单，或在一份报价单中对同一采购项目报有两个或多个报价，且未声明哪一个有效的；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物资技术含量低、不符合询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采购文件要求或者无效报价的；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报价注明的产品品牌、型号不唯一，存在多个混淆报价的报价无效；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供货范围、交货期不满足询价单要求的；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报价人以他人名义报价、或与他人串通报价、或以行贿手段谋取中选，或弄虚作假的，发现各报价人有关联关系的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供应商承诺质保期低于我司要求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质保期，且经评审小组确认，拒绝按照要求提供质保的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不符合法律、法规和询价采购文件中规定的其他要求的；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存在询价单中明确将被拒绝或无效的其他情况。</w:t>
      </w:r>
    </w:p>
    <w:p w:rsidR="0041078B" w:rsidRDefault="0041078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078B" w:rsidRDefault="005B449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评审办法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采用线上报价线下评审的方式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1078B" w:rsidRDefault="005B44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、本项目的评审办法为响应供应商含税总价经评审的最低价法。</w:t>
      </w:r>
    </w:p>
    <w:sectPr w:rsidR="0041078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98" w:rsidRDefault="005B4498" w:rsidP="001D5E08">
      <w:r>
        <w:separator/>
      </w:r>
    </w:p>
  </w:endnote>
  <w:endnote w:type="continuationSeparator" w:id="0">
    <w:p w:rsidR="005B4498" w:rsidRDefault="005B4498" w:rsidP="001D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98" w:rsidRDefault="005B4498" w:rsidP="001D5E08">
      <w:r>
        <w:separator/>
      </w:r>
    </w:p>
  </w:footnote>
  <w:footnote w:type="continuationSeparator" w:id="0">
    <w:p w:rsidR="005B4498" w:rsidRDefault="005B4498" w:rsidP="001D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8B"/>
    <w:rsid w:val="001D5E08"/>
    <w:rsid w:val="0041078B"/>
    <w:rsid w:val="005B4498"/>
    <w:rsid w:val="438C188F"/>
    <w:rsid w:val="6D8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81DED8-3CD0-49BA-84EF-0C4A713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5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5E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D5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5E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82385</dc:creator>
  <cp:lastModifiedBy>Microsoft 帐户</cp:lastModifiedBy>
  <cp:revision>2</cp:revision>
  <dcterms:created xsi:type="dcterms:W3CDTF">2020-07-22T00:56:00Z</dcterms:created>
  <dcterms:modified xsi:type="dcterms:W3CDTF">2020-08-05T02:09:00Z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